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A" w:rsidRDefault="00BC1724" w:rsidP="002861FA">
      <w:pPr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5B58FC">
        <w:rPr>
          <w:rFonts w:hint="cs"/>
          <w:sz w:val="28"/>
          <w:szCs w:val="28"/>
          <w:rtl/>
        </w:rPr>
        <w:t xml:space="preserve">      </w:t>
      </w:r>
      <w:r w:rsidR="000C388E">
        <w:rPr>
          <w:rFonts w:hint="cs"/>
          <w:sz w:val="28"/>
          <w:szCs w:val="28"/>
          <w:rtl/>
        </w:rPr>
        <w:t>1</w:t>
      </w:r>
      <w:r w:rsidR="005B58FC"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/12/16</w:t>
      </w:r>
      <w:r w:rsidR="002861FA">
        <w:rPr>
          <w:rFonts w:hint="cs"/>
          <w:sz w:val="28"/>
          <w:szCs w:val="28"/>
          <w:rtl/>
        </w:rPr>
        <w:t xml:space="preserve"> </w:t>
      </w:r>
    </w:p>
    <w:p w:rsidR="00FA2382" w:rsidRDefault="00FA2382" w:rsidP="000F6E0A">
      <w:pPr>
        <w:jc w:val="center"/>
        <w:rPr>
          <w:b/>
          <w:bCs/>
          <w:sz w:val="28"/>
          <w:szCs w:val="28"/>
          <w:u w:val="single"/>
          <w:rtl/>
        </w:rPr>
      </w:pPr>
    </w:p>
    <w:p w:rsidR="000F6E0A" w:rsidRDefault="000F6E0A" w:rsidP="000F6E0A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תוצאות ביניים של ניסוי נעים לירוק - הקדמה</w:t>
      </w:r>
    </w:p>
    <w:p w:rsidR="00200B99" w:rsidRPr="005B58FC" w:rsidRDefault="00200B99" w:rsidP="0014119D">
      <w:pPr>
        <w:jc w:val="both"/>
        <w:rPr>
          <w:sz w:val="24"/>
          <w:szCs w:val="24"/>
          <w:rtl/>
        </w:rPr>
      </w:pPr>
      <w:r w:rsidRPr="005B58FC">
        <w:rPr>
          <w:rFonts w:hint="cs"/>
          <w:sz w:val="24"/>
          <w:szCs w:val="24"/>
          <w:rtl/>
        </w:rPr>
        <w:t>"נעים לירוק" הוא ניסוי שמטרתו לבחון את הנכונות של ציבור הנהגים לשנות את הרגלי הנהיגה שלו כך שתרומתו לגודש תהיה יותר קטנה.</w:t>
      </w:r>
    </w:p>
    <w:p w:rsidR="00200B99" w:rsidRPr="005B58FC" w:rsidRDefault="00994839" w:rsidP="0014119D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להקדמה זו מצורפים</w:t>
      </w:r>
      <w:r w:rsidR="00BC1724" w:rsidRPr="005B58FC">
        <w:rPr>
          <w:rFonts w:hint="cs"/>
          <w:sz w:val="24"/>
          <w:szCs w:val="24"/>
          <w:rtl/>
        </w:rPr>
        <w:t xml:space="preserve"> תקציר מנהלים </w:t>
      </w:r>
      <w:r>
        <w:rPr>
          <w:rFonts w:hint="cs"/>
          <w:sz w:val="24"/>
          <w:szCs w:val="24"/>
          <w:rtl/>
        </w:rPr>
        <w:t xml:space="preserve">ודו"ח </w:t>
      </w:r>
      <w:r w:rsidR="007114AB" w:rsidRPr="005B58FC">
        <w:rPr>
          <w:rFonts w:hint="cs"/>
          <w:sz w:val="24"/>
          <w:szCs w:val="24"/>
          <w:rtl/>
        </w:rPr>
        <w:t>המתאר</w:t>
      </w:r>
      <w:r>
        <w:rPr>
          <w:rFonts w:hint="cs"/>
          <w:sz w:val="24"/>
          <w:szCs w:val="24"/>
          <w:rtl/>
        </w:rPr>
        <w:t>ים</w:t>
      </w:r>
      <w:r w:rsidR="00BC1724" w:rsidRPr="005B58FC">
        <w:rPr>
          <w:rFonts w:hint="cs"/>
          <w:sz w:val="24"/>
          <w:szCs w:val="24"/>
          <w:rtl/>
        </w:rPr>
        <w:t xml:space="preserve"> </w:t>
      </w:r>
      <w:r w:rsidR="001E1B5B" w:rsidRPr="005B58FC">
        <w:rPr>
          <w:rFonts w:hint="cs"/>
          <w:sz w:val="24"/>
          <w:szCs w:val="24"/>
          <w:rtl/>
        </w:rPr>
        <w:t xml:space="preserve">את </w:t>
      </w:r>
      <w:r w:rsidR="00200B99" w:rsidRPr="005B58FC">
        <w:rPr>
          <w:rFonts w:hint="cs"/>
          <w:sz w:val="24"/>
          <w:szCs w:val="24"/>
          <w:rtl/>
        </w:rPr>
        <w:t xml:space="preserve">ממצאי </w:t>
      </w:r>
      <w:r w:rsidR="001E1B5B" w:rsidRPr="005B58FC">
        <w:rPr>
          <w:rFonts w:hint="cs"/>
          <w:sz w:val="24"/>
          <w:szCs w:val="24"/>
          <w:rtl/>
        </w:rPr>
        <w:t>ה</w:t>
      </w:r>
      <w:r w:rsidR="002861FA">
        <w:rPr>
          <w:rFonts w:hint="cs"/>
          <w:sz w:val="24"/>
          <w:szCs w:val="24"/>
          <w:rtl/>
        </w:rPr>
        <w:t>ביניים של הניסוי</w:t>
      </w:r>
      <w:r w:rsidR="00BC1724" w:rsidRPr="005B58FC">
        <w:rPr>
          <w:rFonts w:hint="cs"/>
          <w:sz w:val="24"/>
          <w:szCs w:val="24"/>
          <w:rtl/>
        </w:rPr>
        <w:t xml:space="preserve">. </w:t>
      </w:r>
      <w:r w:rsidR="004F1EAC" w:rsidRPr="005B58FC">
        <w:rPr>
          <w:rFonts w:hint="cs"/>
          <w:sz w:val="24"/>
          <w:szCs w:val="24"/>
          <w:rtl/>
        </w:rPr>
        <w:t xml:space="preserve">הירידה בהיקף הנסיעות בגודש של </w:t>
      </w:r>
      <w:r w:rsidR="00BC1724" w:rsidRPr="005B58FC">
        <w:rPr>
          <w:rFonts w:hint="cs"/>
          <w:sz w:val="24"/>
          <w:szCs w:val="24"/>
          <w:rtl/>
        </w:rPr>
        <w:t xml:space="preserve">משתתפי הניסוי </w:t>
      </w:r>
      <w:r w:rsidR="004F1EAC" w:rsidRPr="005B58FC">
        <w:rPr>
          <w:rFonts w:hint="cs"/>
          <w:sz w:val="24"/>
          <w:szCs w:val="24"/>
          <w:rtl/>
        </w:rPr>
        <w:t>היתה</w:t>
      </w:r>
      <w:r w:rsidR="0014119D" w:rsidRPr="005B58FC">
        <w:rPr>
          <w:rFonts w:hint="cs"/>
          <w:sz w:val="24"/>
          <w:szCs w:val="24"/>
          <w:rtl/>
        </w:rPr>
        <w:t xml:space="preserve"> 16.5%</w:t>
      </w:r>
      <w:r w:rsidR="00BC1724" w:rsidRPr="005B58FC">
        <w:rPr>
          <w:rFonts w:hint="cs"/>
          <w:sz w:val="24"/>
          <w:szCs w:val="24"/>
          <w:rtl/>
        </w:rPr>
        <w:t xml:space="preserve">. שינוי זה נבע בעיקרו </w:t>
      </w:r>
      <w:r w:rsidR="002E3D1B" w:rsidRPr="005B58FC">
        <w:rPr>
          <w:rFonts w:hint="cs"/>
          <w:sz w:val="24"/>
          <w:szCs w:val="24"/>
          <w:rtl/>
        </w:rPr>
        <w:t>מהפחתה</w:t>
      </w:r>
      <w:r w:rsidR="00BC1724" w:rsidRPr="005B58FC">
        <w:rPr>
          <w:rFonts w:hint="cs"/>
          <w:sz w:val="24"/>
          <w:szCs w:val="24"/>
          <w:rtl/>
        </w:rPr>
        <w:t xml:space="preserve"> של 35% </w:t>
      </w:r>
      <w:r w:rsidR="002E3D1B" w:rsidRPr="005B58FC">
        <w:rPr>
          <w:rFonts w:hint="cs"/>
          <w:sz w:val="24"/>
          <w:szCs w:val="24"/>
          <w:rtl/>
        </w:rPr>
        <w:t xml:space="preserve">בנסיעות בגודש </w:t>
      </w:r>
      <w:r w:rsidR="00BC1724" w:rsidRPr="005B58FC">
        <w:rPr>
          <w:rFonts w:hint="cs"/>
          <w:sz w:val="24"/>
          <w:szCs w:val="24"/>
          <w:rtl/>
        </w:rPr>
        <w:t>שבצעו 45% ממשתתפי הניסוי.</w:t>
      </w:r>
    </w:p>
    <w:p w:rsidR="00BC1724" w:rsidRPr="005B58FC" w:rsidRDefault="001C0725" w:rsidP="0014119D">
      <w:pPr>
        <w:jc w:val="both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בגלל הדינמיקה של היווצרות הגודש</w:t>
      </w:r>
      <w:r w:rsidR="007114AB" w:rsidRPr="005B58FC">
        <w:rPr>
          <w:rFonts w:cs="Arial" w:hint="cs"/>
          <w:sz w:val="24"/>
          <w:szCs w:val="24"/>
          <w:rtl/>
        </w:rPr>
        <w:t xml:space="preserve">, </w:t>
      </w:r>
      <w:r w:rsidR="00BC1724" w:rsidRPr="005B58FC">
        <w:rPr>
          <w:rFonts w:cs="Arial" w:hint="cs"/>
          <w:sz w:val="24"/>
          <w:szCs w:val="24"/>
          <w:rtl/>
        </w:rPr>
        <w:t>הפחתת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נסיעות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בגודש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בסדר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גודל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כזה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תקטין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מאוד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את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הצפיפות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בצירים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המרכזיים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בשעות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השיא</w:t>
      </w:r>
      <w:r w:rsidR="00BC1724" w:rsidRPr="005B58FC">
        <w:rPr>
          <w:rFonts w:cs="Arial"/>
          <w:sz w:val="24"/>
          <w:szCs w:val="24"/>
          <w:rtl/>
        </w:rPr>
        <w:t xml:space="preserve">, </w:t>
      </w:r>
      <w:r w:rsidR="00BC1724" w:rsidRPr="005B58FC">
        <w:rPr>
          <w:rFonts w:cs="Arial" w:hint="cs"/>
          <w:sz w:val="24"/>
          <w:szCs w:val="24"/>
          <w:rtl/>
        </w:rPr>
        <w:t>תגדיל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בהם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את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מהירות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הנסיעה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ובחלק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מהמקרים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תמנע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את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היווצרות</w:t>
      </w:r>
      <w:r w:rsidR="00BC1724" w:rsidRPr="005B58FC">
        <w:rPr>
          <w:rFonts w:cs="Arial"/>
          <w:sz w:val="24"/>
          <w:szCs w:val="24"/>
          <w:rtl/>
        </w:rPr>
        <w:t xml:space="preserve"> </w:t>
      </w:r>
      <w:r w:rsidR="00BC1724" w:rsidRPr="005B58FC">
        <w:rPr>
          <w:rFonts w:cs="Arial" w:hint="cs"/>
          <w:sz w:val="24"/>
          <w:szCs w:val="24"/>
          <w:rtl/>
        </w:rPr>
        <w:t>הפקק</w:t>
      </w:r>
      <w:r w:rsidR="00BC1724" w:rsidRPr="005B58FC">
        <w:rPr>
          <w:rFonts w:cs="Arial"/>
          <w:sz w:val="24"/>
          <w:szCs w:val="24"/>
          <w:rtl/>
        </w:rPr>
        <w:t>.</w:t>
      </w:r>
    </w:p>
    <w:p w:rsidR="00BC1724" w:rsidRPr="005B58FC" w:rsidRDefault="00BC1724" w:rsidP="0014119D">
      <w:pPr>
        <w:jc w:val="both"/>
        <w:rPr>
          <w:sz w:val="24"/>
          <w:szCs w:val="24"/>
          <w:rtl/>
        </w:rPr>
      </w:pPr>
      <w:r w:rsidRPr="005B58FC">
        <w:rPr>
          <w:rFonts w:hint="cs"/>
          <w:sz w:val="24"/>
          <w:szCs w:val="24"/>
          <w:rtl/>
        </w:rPr>
        <w:t xml:space="preserve">הניסוי מדמה </w:t>
      </w:r>
      <w:r w:rsidR="003661A1" w:rsidRPr="005B58FC">
        <w:rPr>
          <w:rFonts w:hint="cs"/>
          <w:sz w:val="24"/>
          <w:szCs w:val="24"/>
          <w:rtl/>
        </w:rPr>
        <w:t xml:space="preserve">מיסוי דיפרנציאלי , כלומר מצב </w:t>
      </w:r>
      <w:r w:rsidR="007114AB" w:rsidRPr="005B58FC">
        <w:rPr>
          <w:rFonts w:hint="cs"/>
          <w:sz w:val="24"/>
          <w:szCs w:val="24"/>
          <w:rtl/>
        </w:rPr>
        <w:t>שבו</w:t>
      </w:r>
      <w:r w:rsidRPr="005B58FC">
        <w:rPr>
          <w:rFonts w:hint="cs"/>
          <w:sz w:val="24"/>
          <w:szCs w:val="24"/>
          <w:rtl/>
        </w:rPr>
        <w:t xml:space="preserve"> </w:t>
      </w:r>
      <w:r w:rsidR="003661A1" w:rsidRPr="005B58FC">
        <w:rPr>
          <w:rFonts w:hint="cs"/>
          <w:sz w:val="24"/>
          <w:szCs w:val="24"/>
          <w:rtl/>
        </w:rPr>
        <w:t xml:space="preserve">הפחתה במיסוי </w:t>
      </w:r>
      <w:r w:rsidR="007114AB" w:rsidRPr="005B58FC">
        <w:rPr>
          <w:rFonts w:hint="cs"/>
          <w:sz w:val="24"/>
          <w:szCs w:val="24"/>
          <w:rtl/>
        </w:rPr>
        <w:t xml:space="preserve">נעשית </w:t>
      </w:r>
      <w:r w:rsidR="003661A1" w:rsidRPr="005B58FC">
        <w:rPr>
          <w:rFonts w:hint="cs"/>
          <w:sz w:val="24"/>
          <w:szCs w:val="24"/>
          <w:rtl/>
        </w:rPr>
        <w:t xml:space="preserve">באופן תלוי-שימוש [מקום ,מרחק, שעה, רמת זיהום]. </w:t>
      </w:r>
    </w:p>
    <w:p w:rsidR="00AF4576" w:rsidRPr="005B58FC" w:rsidRDefault="00AF4576" w:rsidP="00AF4576">
      <w:pPr>
        <w:jc w:val="both"/>
        <w:rPr>
          <w:sz w:val="24"/>
          <w:szCs w:val="24"/>
          <w:rtl/>
        </w:rPr>
      </w:pPr>
      <w:r w:rsidRPr="005B58FC">
        <w:rPr>
          <w:rFonts w:hint="cs"/>
          <w:sz w:val="24"/>
          <w:szCs w:val="24"/>
          <w:rtl/>
        </w:rPr>
        <w:t xml:space="preserve">העלות התקציבית להפחתת נסיעה בגודש במסגרת הניסוי היתה כ 12 ₪ להסטת נסיעה משעת שיא לשעה מוקדמת או מאוחרת יותר, ושל כ 22 ₪ להימנעות מנסיעה ברכב בחלק מהימים </w:t>
      </w:r>
      <w:r>
        <w:rPr>
          <w:rFonts w:hint="cs"/>
          <w:sz w:val="24"/>
          <w:szCs w:val="24"/>
          <w:rtl/>
        </w:rPr>
        <w:t xml:space="preserve">באחת מהדרכים המפורטות בתקציר, במשוקלל: 17.50 ₪ להפחתת נסיעה בגודש. </w:t>
      </w:r>
      <w:r w:rsidRPr="005B58FC">
        <w:rPr>
          <w:rFonts w:hint="cs"/>
          <w:b/>
          <w:bCs/>
          <w:sz w:val="24"/>
          <w:szCs w:val="24"/>
          <w:rtl/>
        </w:rPr>
        <w:t xml:space="preserve">העלות למשק </w:t>
      </w:r>
      <w:r w:rsidRPr="005B58FC">
        <w:rPr>
          <w:rFonts w:hint="cs"/>
          <w:sz w:val="24"/>
          <w:szCs w:val="24"/>
          <w:rtl/>
        </w:rPr>
        <w:t xml:space="preserve">של מדיניות תשלומים זו </w:t>
      </w:r>
      <w:r>
        <w:rPr>
          <w:rFonts w:hint="cs"/>
          <w:sz w:val="24"/>
          <w:szCs w:val="24"/>
          <w:rtl/>
        </w:rPr>
        <w:t xml:space="preserve">זעומה, </w:t>
      </w:r>
      <w:r w:rsidRPr="005B58FC">
        <w:rPr>
          <w:rFonts w:hint="cs"/>
          <w:sz w:val="24"/>
          <w:szCs w:val="24"/>
          <w:rtl/>
        </w:rPr>
        <w:t>שכן אלו הם</w:t>
      </w:r>
      <w:r w:rsidRPr="005B58FC">
        <w:rPr>
          <w:rFonts w:hint="cs"/>
          <w:b/>
          <w:bCs/>
          <w:sz w:val="24"/>
          <w:szCs w:val="24"/>
          <w:rtl/>
        </w:rPr>
        <w:t xml:space="preserve"> תשלומי העברה</w:t>
      </w:r>
      <w:r w:rsidRPr="005B58FC">
        <w:rPr>
          <w:rFonts w:hint="cs"/>
          <w:sz w:val="24"/>
          <w:szCs w:val="24"/>
          <w:rtl/>
        </w:rPr>
        <w:t xml:space="preserve"> ועל כן אינם עלות מנקודת הראות של כלל המשק.</w:t>
      </w:r>
    </w:p>
    <w:p w:rsidR="002E3D1B" w:rsidRPr="005B58FC" w:rsidRDefault="00426373" w:rsidP="00426373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עלות זו, במונחים תקציביים, ועל אחת כמה במונחי עלות למשק, </w:t>
      </w:r>
      <w:r w:rsidR="007114AB" w:rsidRPr="005B58FC">
        <w:rPr>
          <w:rFonts w:hint="cs"/>
          <w:sz w:val="24"/>
          <w:szCs w:val="24"/>
          <w:rtl/>
        </w:rPr>
        <w:t>קטנה מהעלות של השגת אותה התוצא</w:t>
      </w:r>
      <w:r>
        <w:rPr>
          <w:rFonts w:hint="cs"/>
          <w:sz w:val="24"/>
          <w:szCs w:val="24"/>
          <w:rtl/>
        </w:rPr>
        <w:t>ה באמצעות השקעה בתחבורה ציבורית</w:t>
      </w:r>
      <w:r w:rsidR="00121F25">
        <w:rPr>
          <w:rFonts w:hint="cs"/>
          <w:sz w:val="24"/>
          <w:szCs w:val="24"/>
          <w:rtl/>
        </w:rPr>
        <w:t xml:space="preserve">. </w:t>
      </w:r>
      <w:r w:rsidR="002B6145" w:rsidRPr="005B58FC">
        <w:rPr>
          <w:rFonts w:hint="cs"/>
          <w:sz w:val="24"/>
          <w:szCs w:val="24"/>
          <w:rtl/>
        </w:rPr>
        <w:t xml:space="preserve">אין כמעט הצלחה </w:t>
      </w:r>
      <w:r w:rsidR="007123C4" w:rsidRPr="005B58FC">
        <w:rPr>
          <w:rFonts w:hint="cs"/>
          <w:sz w:val="24"/>
          <w:szCs w:val="24"/>
          <w:rtl/>
        </w:rPr>
        <w:t xml:space="preserve">בהסטות </w:t>
      </w:r>
      <w:r w:rsidR="00662FDC" w:rsidRPr="005B58FC">
        <w:rPr>
          <w:rFonts w:hint="cs"/>
          <w:sz w:val="24"/>
          <w:szCs w:val="24"/>
          <w:rtl/>
        </w:rPr>
        <w:t xml:space="preserve">נוסעי רכב פרטי </w:t>
      </w:r>
      <w:r w:rsidR="007123C4" w:rsidRPr="005B58FC">
        <w:rPr>
          <w:rFonts w:hint="cs"/>
          <w:sz w:val="24"/>
          <w:szCs w:val="24"/>
          <w:rtl/>
        </w:rPr>
        <w:t>ל</w:t>
      </w:r>
      <w:r w:rsidR="00314CA4" w:rsidRPr="005B58FC">
        <w:rPr>
          <w:rFonts w:hint="cs"/>
          <w:sz w:val="24"/>
          <w:szCs w:val="24"/>
          <w:rtl/>
        </w:rPr>
        <w:t xml:space="preserve">שירות האוטובוסים, ובשירות המסילתי התמיכה גבוהה פי כמה. </w:t>
      </w:r>
    </w:p>
    <w:p w:rsidR="007114AB" w:rsidRPr="005B58FC" w:rsidRDefault="007114AB" w:rsidP="005B58FC">
      <w:pPr>
        <w:jc w:val="both"/>
        <w:rPr>
          <w:sz w:val="24"/>
          <w:szCs w:val="24"/>
          <w:rtl/>
        </w:rPr>
      </w:pPr>
      <w:r w:rsidRPr="005B58FC">
        <w:rPr>
          <w:rFonts w:hint="cs"/>
          <w:sz w:val="24"/>
          <w:szCs w:val="24"/>
          <w:rtl/>
        </w:rPr>
        <w:t xml:space="preserve">עם זאת יש לציין </w:t>
      </w:r>
      <w:r w:rsidR="001E1B5B" w:rsidRPr="005B58FC">
        <w:rPr>
          <w:rFonts w:hint="cs"/>
          <w:sz w:val="24"/>
          <w:szCs w:val="24"/>
          <w:rtl/>
        </w:rPr>
        <w:t xml:space="preserve">שככל </w:t>
      </w:r>
      <w:r w:rsidRPr="005B58FC">
        <w:rPr>
          <w:rFonts w:hint="cs"/>
          <w:sz w:val="24"/>
          <w:szCs w:val="24"/>
          <w:rtl/>
        </w:rPr>
        <w:t>ש</w:t>
      </w:r>
      <w:r w:rsidR="001E1B5B" w:rsidRPr="005B58FC">
        <w:rPr>
          <w:rFonts w:hint="cs"/>
          <w:sz w:val="24"/>
          <w:szCs w:val="24"/>
          <w:rtl/>
        </w:rPr>
        <w:t>ה</w:t>
      </w:r>
      <w:r w:rsidRPr="005B58FC">
        <w:rPr>
          <w:rFonts w:hint="cs"/>
          <w:sz w:val="24"/>
          <w:szCs w:val="24"/>
          <w:rtl/>
        </w:rPr>
        <w:t xml:space="preserve">מתנדבים תפסו את חלופת התחבורה הציבורית העומדת לרשותם כטובה </w:t>
      </w:r>
      <w:r w:rsidR="00572FD9" w:rsidRPr="005B58FC">
        <w:rPr>
          <w:rFonts w:hint="cs"/>
          <w:sz w:val="24"/>
          <w:szCs w:val="24"/>
          <w:rtl/>
        </w:rPr>
        <w:t xml:space="preserve">יותר </w:t>
      </w:r>
      <w:r w:rsidR="001E1B5B" w:rsidRPr="005B58FC">
        <w:rPr>
          <w:rFonts w:hint="cs"/>
          <w:sz w:val="24"/>
          <w:szCs w:val="24"/>
          <w:rtl/>
        </w:rPr>
        <w:t xml:space="preserve">כן הם </w:t>
      </w:r>
      <w:r w:rsidRPr="005B58FC">
        <w:rPr>
          <w:rFonts w:hint="cs"/>
          <w:sz w:val="24"/>
          <w:szCs w:val="24"/>
          <w:rtl/>
        </w:rPr>
        <w:t xml:space="preserve">נטו יותר </w:t>
      </w:r>
      <w:r w:rsidR="004D49C0" w:rsidRPr="005B58FC">
        <w:rPr>
          <w:rFonts w:hint="cs"/>
          <w:sz w:val="24"/>
          <w:szCs w:val="24"/>
          <w:rtl/>
        </w:rPr>
        <w:t>להשתמש בה בחלק או בכל מסלול נסיעתם. כלומר</w:t>
      </w:r>
      <w:r w:rsidR="00572FD9" w:rsidRPr="005B58FC">
        <w:rPr>
          <w:rFonts w:hint="cs"/>
          <w:sz w:val="24"/>
          <w:szCs w:val="24"/>
          <w:rtl/>
        </w:rPr>
        <w:t xml:space="preserve">, יש תמיכה הדדית בשילוב של תשלום תלוי שימוש ברכב פרטי לתחבורה </w:t>
      </w:r>
      <w:r w:rsidR="00915106" w:rsidRPr="005B58FC">
        <w:rPr>
          <w:rFonts w:hint="cs"/>
          <w:sz w:val="24"/>
          <w:szCs w:val="24"/>
          <w:rtl/>
        </w:rPr>
        <w:t>ציבורית</w:t>
      </w:r>
      <w:r w:rsidR="00572FD9" w:rsidRPr="005B58FC">
        <w:rPr>
          <w:rFonts w:hint="cs"/>
          <w:sz w:val="24"/>
          <w:szCs w:val="24"/>
          <w:rtl/>
        </w:rPr>
        <w:t xml:space="preserve"> משופרת .</w:t>
      </w:r>
    </w:p>
    <w:p w:rsidR="005B58FC" w:rsidRPr="005B58FC" w:rsidRDefault="005B58FC" w:rsidP="005B58FC">
      <w:pPr>
        <w:jc w:val="both"/>
        <w:rPr>
          <w:sz w:val="24"/>
          <w:szCs w:val="24"/>
          <w:rtl/>
        </w:rPr>
      </w:pPr>
      <w:r w:rsidRPr="005B58FC">
        <w:rPr>
          <w:rFonts w:hint="cs"/>
          <w:sz w:val="24"/>
          <w:szCs w:val="24"/>
          <w:rtl/>
        </w:rPr>
        <w:t xml:space="preserve">העבודה הוכנה ע"י אסף חזות ויהושע כהן מחברת מתת בליווי פרופ' יורם </w:t>
      </w:r>
      <w:proofErr w:type="spellStart"/>
      <w:r w:rsidRPr="005B58FC">
        <w:rPr>
          <w:rFonts w:hint="cs"/>
          <w:sz w:val="24"/>
          <w:szCs w:val="24"/>
          <w:rtl/>
        </w:rPr>
        <w:t>שיפטן</w:t>
      </w:r>
      <w:proofErr w:type="spellEnd"/>
      <w:r w:rsidRPr="005B58FC">
        <w:rPr>
          <w:rFonts w:hint="cs"/>
          <w:sz w:val="24"/>
          <w:szCs w:val="24"/>
          <w:rtl/>
        </w:rPr>
        <w:t xml:space="preserve">. </w:t>
      </w:r>
    </w:p>
    <w:p w:rsidR="0057412C" w:rsidRPr="005B58FC" w:rsidRDefault="0057412C" w:rsidP="0057412C">
      <w:pPr>
        <w:rPr>
          <w:color w:val="1F497D" w:themeColor="dark2"/>
          <w:sz w:val="24"/>
          <w:szCs w:val="24"/>
        </w:rPr>
      </w:pPr>
    </w:p>
    <w:p w:rsidR="0057412C" w:rsidRDefault="0057412C" w:rsidP="0057412C">
      <w:pPr>
        <w:rPr>
          <w:rFonts w:eastAsiaTheme="minorEastAsia"/>
          <w:b/>
          <w:bCs/>
          <w:noProof/>
          <w:color w:val="365F91" w:themeColor="accent1" w:themeShade="BF"/>
        </w:rPr>
      </w:pPr>
      <w:bookmarkStart w:id="0" w:name="_MailAutoSig"/>
      <w:r>
        <w:rPr>
          <w:rFonts w:eastAsiaTheme="minorEastAsia"/>
          <w:b/>
          <w:bCs/>
          <w:noProof/>
          <w:color w:val="365F91" w:themeColor="accent1" w:themeShade="BF"/>
          <w:rtl/>
        </w:rPr>
        <w:t xml:space="preserve">ניצן יוצר </w:t>
      </w:r>
    </w:p>
    <w:p w:rsidR="0057412C" w:rsidRDefault="0057412C" w:rsidP="0057412C">
      <w:pPr>
        <w:rPr>
          <w:rFonts w:eastAsiaTheme="minorEastAsia"/>
          <w:b/>
          <w:bCs/>
          <w:noProof/>
          <w:color w:val="365F91" w:themeColor="accent1" w:themeShade="BF"/>
        </w:rPr>
      </w:pPr>
      <w:r>
        <w:rPr>
          <w:rFonts w:eastAsiaTheme="minorEastAsia"/>
          <w:b/>
          <w:bCs/>
          <w:noProof/>
          <w:color w:val="365F91" w:themeColor="accent1" w:themeShade="BF"/>
          <w:rtl/>
        </w:rPr>
        <w:t>מנהל הניסוי</w:t>
      </w:r>
    </w:p>
    <w:p w:rsidR="00200B99" w:rsidRPr="00200B99" w:rsidRDefault="00200B99" w:rsidP="00FA2382">
      <w:pPr>
        <w:rPr>
          <w:rFonts w:hint="cs"/>
          <w:sz w:val="28"/>
          <w:szCs w:val="28"/>
          <w:rtl/>
        </w:rPr>
      </w:pPr>
      <w:bookmarkStart w:id="1" w:name="_GoBack"/>
      <w:bookmarkEnd w:id="0"/>
      <w:bookmarkEnd w:id="1"/>
    </w:p>
    <w:sectPr w:rsidR="00200B99" w:rsidRPr="00200B99" w:rsidSect="0014119D">
      <w:headerReference w:type="default" r:id="rId7"/>
      <w:pgSz w:w="11906" w:h="16838"/>
      <w:pgMar w:top="1361" w:right="1701" w:bottom="1134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27" w:rsidRDefault="00C00327" w:rsidP="00BC1724">
      <w:pPr>
        <w:spacing w:after="0" w:line="240" w:lineRule="auto"/>
      </w:pPr>
      <w:r>
        <w:separator/>
      </w:r>
    </w:p>
  </w:endnote>
  <w:endnote w:type="continuationSeparator" w:id="0">
    <w:p w:rsidR="00C00327" w:rsidRDefault="00C00327" w:rsidP="00BC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27" w:rsidRDefault="00C00327" w:rsidP="00BC1724">
      <w:pPr>
        <w:spacing w:after="0" w:line="240" w:lineRule="auto"/>
      </w:pPr>
      <w:r>
        <w:separator/>
      </w:r>
    </w:p>
  </w:footnote>
  <w:footnote w:type="continuationSeparator" w:id="0">
    <w:p w:rsidR="00C00327" w:rsidRDefault="00C00327" w:rsidP="00BC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A" w:rsidRDefault="000F6E0A">
    <w:pPr>
      <w:pStyle w:val="a3"/>
    </w:pPr>
    <w:r w:rsidRPr="00BC1724">
      <w:rPr>
        <w:rFonts w:ascii="Calibri" w:eastAsia="Calibri" w:hAnsi="Calibri" w:cs="Arial"/>
        <w:noProof/>
      </w:rPr>
      <w:drawing>
        <wp:inline distT="0" distB="0" distL="0" distR="0" wp14:anchorId="39271BE0" wp14:editId="2C65259C">
          <wp:extent cx="5274310" cy="1389469"/>
          <wp:effectExtent l="0" t="0" r="2540" b="127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89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99"/>
    <w:rsid w:val="000C388E"/>
    <w:rsid w:val="000F6E0A"/>
    <w:rsid w:val="00106524"/>
    <w:rsid w:val="00121F25"/>
    <w:rsid w:val="0014119D"/>
    <w:rsid w:val="001C0725"/>
    <w:rsid w:val="001E1B5B"/>
    <w:rsid w:val="00200B99"/>
    <w:rsid w:val="002861FA"/>
    <w:rsid w:val="002B6145"/>
    <w:rsid w:val="002E3D1B"/>
    <w:rsid w:val="00314CA4"/>
    <w:rsid w:val="003661A1"/>
    <w:rsid w:val="003F1F07"/>
    <w:rsid w:val="00426373"/>
    <w:rsid w:val="004D49C0"/>
    <w:rsid w:val="004F1EAC"/>
    <w:rsid w:val="00507584"/>
    <w:rsid w:val="00572FD9"/>
    <w:rsid w:val="0057412C"/>
    <w:rsid w:val="00582FA2"/>
    <w:rsid w:val="005B58FC"/>
    <w:rsid w:val="005E6922"/>
    <w:rsid w:val="00662FDC"/>
    <w:rsid w:val="006F3574"/>
    <w:rsid w:val="007114AB"/>
    <w:rsid w:val="007123C4"/>
    <w:rsid w:val="007E5B74"/>
    <w:rsid w:val="008F3647"/>
    <w:rsid w:val="00915106"/>
    <w:rsid w:val="00915C9F"/>
    <w:rsid w:val="00917248"/>
    <w:rsid w:val="00994839"/>
    <w:rsid w:val="009E1ED5"/>
    <w:rsid w:val="00AF4576"/>
    <w:rsid w:val="00B27DA1"/>
    <w:rsid w:val="00BA524D"/>
    <w:rsid w:val="00BC1724"/>
    <w:rsid w:val="00C00327"/>
    <w:rsid w:val="00E139B6"/>
    <w:rsid w:val="00F669F4"/>
    <w:rsid w:val="00F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1724"/>
  </w:style>
  <w:style w:type="paragraph" w:styleId="a5">
    <w:name w:val="footer"/>
    <w:basedOn w:val="a"/>
    <w:link w:val="a6"/>
    <w:uiPriority w:val="99"/>
    <w:unhideWhenUsed/>
    <w:rsid w:val="00BC1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C1724"/>
  </w:style>
  <w:style w:type="paragraph" w:styleId="a7">
    <w:name w:val="Balloon Text"/>
    <w:basedOn w:val="a"/>
    <w:link w:val="a8"/>
    <w:uiPriority w:val="99"/>
    <w:semiHidden/>
    <w:unhideWhenUsed/>
    <w:rsid w:val="00BC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C172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74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C1724"/>
  </w:style>
  <w:style w:type="paragraph" w:styleId="a5">
    <w:name w:val="footer"/>
    <w:basedOn w:val="a"/>
    <w:link w:val="a6"/>
    <w:uiPriority w:val="99"/>
    <w:unhideWhenUsed/>
    <w:rsid w:val="00BC1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C1724"/>
  </w:style>
  <w:style w:type="paragraph" w:styleId="a7">
    <w:name w:val="Balloon Text"/>
    <w:basedOn w:val="a"/>
    <w:link w:val="a8"/>
    <w:uiPriority w:val="99"/>
    <w:semiHidden/>
    <w:unhideWhenUsed/>
    <w:rsid w:val="00BC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C172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74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ניצן יוצר</dc:creator>
  <cp:lastModifiedBy>Nitzan Yozer</cp:lastModifiedBy>
  <cp:revision>2</cp:revision>
  <cp:lastPrinted>2016-12-19T06:44:00Z</cp:lastPrinted>
  <dcterms:created xsi:type="dcterms:W3CDTF">2018-10-22T08:09:00Z</dcterms:created>
  <dcterms:modified xsi:type="dcterms:W3CDTF">2018-10-22T08:09:00Z</dcterms:modified>
</cp:coreProperties>
</file>